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844" w:rsidRP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C284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ЭЛЕКТРИЧЕСКИЕ ПАРАМЕТРЫ МОДУЛЕЙ ИОНИСТОРНЫХ МИК</w:t>
      </w:r>
      <w:r w:rsidRPr="002C2844">
        <w:rPr>
          <w:rFonts w:ascii="Arial" w:eastAsia="Times New Roman" w:hAnsi="Arial" w:cs="Arial"/>
          <w:b/>
          <w:bCs/>
          <w:sz w:val="27"/>
          <w:szCs w:val="27"/>
          <w:lang w:eastAsia="ru-RU"/>
        </w:rPr>
        <w:br/>
        <w:t>ТИП-1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73"/>
        <w:gridCol w:w="1841"/>
        <w:gridCol w:w="1784"/>
        <w:gridCol w:w="1585"/>
        <w:gridCol w:w="2451"/>
      </w:tblGrid>
      <w:tr w:rsidR="002C2844" w:rsidRPr="002C2844" w:rsidTr="007E0B8F"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bookmarkStart w:id="0" w:name="_GoBack" w:colFirst="2" w:colLast="2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Номинальное напряжение, В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Номинальная ёмкость, Ф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Ток утечки, мкА, (72 часа)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br/>
              <w:t>T=(25±1)°C, не более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Rэкв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 xml:space="preserve">. пост. ток, 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MОм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br/>
              <w:t>T=(25±1)°C, не более</w:t>
            </w:r>
          </w:p>
        </w:tc>
        <w:tc>
          <w:tcPr>
            <w:tcW w:w="2451" w:type="dxa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Предельно допустимый зарядно-разрядный ток, A (разрядка в течение 1 с от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U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 до 1/2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U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), не менее</w:t>
            </w:r>
          </w:p>
        </w:tc>
      </w:tr>
      <w:bookmarkEnd w:id="0"/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16.66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451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18.5</w:t>
            </w:r>
          </w:p>
        </w:tc>
      </w:tr>
    </w:tbl>
    <w:p w:rsid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C2844" w:rsidRP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C284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ЭЛЕКТРИЧЕСКИЕ ПАРАМЕТРЫ МОДУЛЕЙ ИОНИСТОРНЫХ МИК</w:t>
      </w:r>
      <w:r w:rsidRPr="002C2844">
        <w:rPr>
          <w:rFonts w:ascii="Arial" w:eastAsia="Times New Roman" w:hAnsi="Arial" w:cs="Arial"/>
          <w:b/>
          <w:bCs/>
          <w:sz w:val="27"/>
          <w:szCs w:val="27"/>
          <w:lang w:eastAsia="ru-RU"/>
        </w:rPr>
        <w:br/>
        <w:t>ТИП-2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2"/>
        <w:gridCol w:w="1676"/>
        <w:gridCol w:w="1591"/>
        <w:gridCol w:w="1733"/>
        <w:gridCol w:w="3004"/>
      </w:tblGrid>
      <w:tr w:rsidR="002C2844" w:rsidRPr="002C2844" w:rsidTr="007E0B8F"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Номинальное напряжение, В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Номинальная ёмкость, Ф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Ток утечки, мкА, (72 часа)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br/>
              <w:t>T=(25±1)°C, не более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Rэкв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 xml:space="preserve">. 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пост.ток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MОм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br/>
              <w:t>T=(25±1)°C, не более</w:t>
            </w:r>
          </w:p>
        </w:tc>
        <w:tc>
          <w:tcPr>
            <w:tcW w:w="3004" w:type="dxa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Предельно допустимый зарядно-разрядный ток, A (разрядка в течение 1 с от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U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 до 1/2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U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), не менее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6.5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16.66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8.33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4.16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3004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</w:tr>
    </w:tbl>
    <w:p w:rsidR="00300CF9" w:rsidRDefault="00300CF9" w:rsidP="002C2844"/>
    <w:p w:rsidR="002C2844" w:rsidRDefault="002C2844" w:rsidP="002C2844"/>
    <w:p w:rsidR="002C2844" w:rsidRP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C284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ГАБАРИТНЫЕ РАЗМЕРЫ И МАССА МОДУЛЕЙ СУПЕРКОНДЕНСАТОРОВ МИК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854"/>
        <w:gridCol w:w="669"/>
        <w:gridCol w:w="1251"/>
        <w:gridCol w:w="582"/>
        <w:gridCol w:w="655"/>
        <w:gridCol w:w="711"/>
        <w:gridCol w:w="592"/>
        <w:gridCol w:w="592"/>
        <w:gridCol w:w="606"/>
        <w:gridCol w:w="1049"/>
        <w:gridCol w:w="1215"/>
      </w:tblGrid>
      <w:tr w:rsidR="002C2844" w:rsidRPr="002C2844" w:rsidTr="007E0B8F"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   Наименование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Тип</w:t>
            </w: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1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Конструк</w:t>
            </w: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softHyphen/>
              <w:t>тивное испол</w:t>
            </w: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softHyphen/>
              <w:t>нение</w:t>
            </w: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sz w:val="11"/>
                <w:szCs w:val="11"/>
                <w:vertAlign w:val="superscript"/>
                <w:lang w:eastAsia="ru-RU"/>
              </w:rPr>
              <w:t> 2</w:t>
            </w:r>
          </w:p>
        </w:tc>
        <w:tc>
          <w:tcPr>
            <w:tcW w:w="0" w:type="auto"/>
            <w:gridSpan w:val="6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Размеры, мм</w:t>
            </w:r>
          </w:p>
        </w:tc>
        <w:tc>
          <w:tcPr>
            <w:tcW w:w="0" w:type="auto"/>
            <w:vMerge w:val="restart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Масса, г</w:t>
            </w:r>
          </w:p>
        </w:tc>
        <w:tc>
          <w:tcPr>
            <w:tcW w:w="1215" w:type="dxa"/>
            <w:vMerge w:val="restart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Рисунок</w:t>
            </w:r>
          </w:p>
        </w:tc>
      </w:tr>
      <w:tr w:rsidR="002C2844" w:rsidRPr="002C2844" w:rsidTr="007E0B8F">
        <w:tc>
          <w:tcPr>
            <w:tcW w:w="0" w:type="auto"/>
            <w:vMerge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L±2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W±2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H±2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h</w:t>
            </w: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1</w:t>
            </w: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±2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h</w:t>
            </w: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2</w:t>
            </w: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±3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color w:val="FFFFFF" w:themeColor="background1"/>
                <w:lang w:eastAsia="ru-RU"/>
              </w:rPr>
              <w:t>A±3</w:t>
            </w:r>
          </w:p>
        </w:tc>
        <w:tc>
          <w:tcPr>
            <w:tcW w:w="0" w:type="auto"/>
            <w:vMerge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5" w:type="dxa"/>
            <w:vMerge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5В х 7.5Ф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5В х 25Ф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75.5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7.5В х 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7.5В х 16.66Ф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101.5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Модуль 10В х 12.5Ф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12.5В х 10Ф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15В х 8.33Ф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20В х 6.25Ф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25В х 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30В х 4.16Ф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5В х 7.5Ф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5В х 25Ф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75.5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7.5В х 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7.5В х 16.66Ф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101.5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10В х 12.5Ф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12.5В х 10Ф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15В х 8.33Ф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20В х 6.25Ф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25В х 5Ф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Модуль 30В х 4.16Ф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1215" w:type="dxa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2C2844" w:rsidRDefault="002C2844" w:rsidP="002C28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2844" w:rsidRPr="002C2844" w:rsidRDefault="002C2844" w:rsidP="002C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1</w:t>
      </w:r>
    </w:p>
    <w:p w:rsidR="002C2844" w:rsidRPr="002C2844" w:rsidRDefault="002C2844" w:rsidP="002C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ТИП-1</w:t>
      </w:r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 пониженным эквивалентным последовательным сопротивлением (ЭПС), пониженным током утечки, с диапазоном температуры среды при эксплуатации – минус 50…+65°С (МИК-1-1, МИК-1-2);</w:t>
      </w:r>
    </w:p>
    <w:p w:rsidR="002C2844" w:rsidRPr="002C2844" w:rsidRDefault="002C2844" w:rsidP="002C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ТИП-2</w:t>
      </w:r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 расширенным диапазоном температуры среды при эксплуатации – минус 60…+65°С (МИК-2-1, МИК-2-2).</w:t>
      </w:r>
    </w:p>
    <w:p w:rsidR="002C2844" w:rsidRPr="002C2844" w:rsidRDefault="002C2844" w:rsidP="002C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 2</w:t>
      </w:r>
    </w:p>
    <w:p w:rsidR="002C2844" w:rsidRPr="002C2844" w:rsidRDefault="002C2844" w:rsidP="002C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 1 </w:t>
      </w:r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</w:t>
      </w:r>
      <w:proofErr w:type="gramEnd"/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уплотненные в неизолированном металлическом прямоугольном корпусе, с проводными однонаправленными выводами, полярными, для внутреннего монтажа с требованиями стойкости к повышенной влажности воздуха 98% при температуре 25°С и 35°С</w:t>
      </w:r>
    </w:p>
    <w:p w:rsidR="002C2844" w:rsidRPr="002C2844" w:rsidRDefault="002C2844" w:rsidP="002C28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8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Исполнение 2 </w:t>
      </w:r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</w:t>
      </w:r>
      <w:proofErr w:type="gramEnd"/>
      <w:r w:rsidRPr="002C2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уплотненные в неизолированном металлическом прямоугольном корпусе, с однонаправленными выводами (лепестки по ГОСТ 22376), полярными, для внутреннего монтажа с требованиями стойкости к повышенной влажности воздуха 98% при температуре 25°С и 35°С.</w:t>
      </w:r>
    </w:p>
    <w:p w:rsid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2C2844" w:rsidRPr="002C2844" w:rsidRDefault="002C2844" w:rsidP="002C2844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C2844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ТРЕБОВАНИЯ НАДЁЖНОСТИ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5999"/>
        <w:gridCol w:w="821"/>
        <w:gridCol w:w="1109"/>
        <w:gridCol w:w="1491"/>
      </w:tblGrid>
      <w:tr w:rsidR="002C2844" w:rsidRPr="002C2844" w:rsidTr="007E0B8F"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Режимы и условия эксплуатации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t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λ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 ч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spellStart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t</w:t>
            </w: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1"/>
                <w:szCs w:val="11"/>
                <w:vertAlign w:val="subscript"/>
                <w:lang w:eastAsia="ru-RU"/>
              </w:rPr>
              <w:t>λ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, циклов</w:t>
            </w:r>
          </w:p>
        </w:tc>
        <w:tc>
          <w:tcPr>
            <w:tcW w:w="0" w:type="auto"/>
            <w:shd w:val="clear" w:color="auto" w:fill="2F5496" w:themeFill="accent5" w:themeFillShade="BF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λ, 1/ч, не более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Предельно-допустимый режим (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=65°С)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1 500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5x10</w:t>
            </w:r>
            <w:r w:rsidRPr="002C2844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-4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Предельно-допустимый режим (заряд до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 xml:space="preserve">, разряд до ½Uном, 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=65°С)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30 000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5x10</w:t>
            </w:r>
            <w:r w:rsidRPr="002C2844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Типовой режим (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=25°С)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90 000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2x10</w:t>
            </w:r>
            <w:r w:rsidRPr="002C2844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-5</w:t>
            </w:r>
          </w:p>
        </w:tc>
      </w:tr>
      <w:tr w:rsidR="002C2844" w:rsidRPr="002C2844" w:rsidTr="007E0B8F"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Типовой режим (заряд до 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Uном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 xml:space="preserve">, разряд до ½Uном, </w:t>
            </w:r>
            <w:proofErr w:type="spellStart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Tокр</w:t>
            </w:r>
            <w:proofErr w:type="spellEnd"/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=25°С)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500 000</w:t>
            </w:r>
          </w:p>
        </w:tc>
        <w:tc>
          <w:tcPr>
            <w:tcW w:w="0" w:type="auto"/>
            <w:hideMark/>
          </w:tcPr>
          <w:p w:rsidR="002C2844" w:rsidRPr="002C2844" w:rsidRDefault="002C2844" w:rsidP="002C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2844">
              <w:rPr>
                <w:rFonts w:ascii="Times New Roman" w:eastAsia="Times New Roman" w:hAnsi="Times New Roman" w:cs="Times New Roman"/>
                <w:lang w:eastAsia="ru-RU"/>
              </w:rPr>
              <w:t>2x10</w:t>
            </w:r>
            <w:r w:rsidRPr="002C2844">
              <w:rPr>
                <w:rFonts w:ascii="Times New Roman" w:eastAsia="Times New Roman" w:hAnsi="Times New Roman" w:cs="Times New Roman"/>
                <w:sz w:val="10"/>
                <w:szCs w:val="10"/>
                <w:vertAlign w:val="superscript"/>
                <w:lang w:eastAsia="ru-RU"/>
              </w:rPr>
              <w:t>-7</w:t>
            </w:r>
          </w:p>
        </w:tc>
      </w:tr>
    </w:tbl>
    <w:p w:rsidR="007E0B8F" w:rsidRDefault="007E0B8F" w:rsidP="002C28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E0B8F" w:rsidRDefault="007E0B8F" w:rsidP="002C28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2844" w:rsidRPr="002C2844" w:rsidRDefault="002C2844" w:rsidP="002C284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C2844">
        <w:rPr>
          <w:rFonts w:ascii="Arial" w:eastAsia="Times New Roman" w:hAnsi="Arial" w:cs="Arial"/>
          <w:sz w:val="24"/>
          <w:szCs w:val="24"/>
          <w:lang w:eastAsia="ru-RU"/>
        </w:rPr>
        <w:t xml:space="preserve">Гамма-процентный срок </w:t>
      </w:r>
      <w:proofErr w:type="spellStart"/>
      <w:r w:rsidRPr="002C2844">
        <w:rPr>
          <w:rFonts w:ascii="Arial" w:eastAsia="Times New Roman" w:hAnsi="Arial" w:cs="Arial"/>
          <w:sz w:val="24"/>
          <w:szCs w:val="24"/>
          <w:lang w:eastAsia="ru-RU"/>
        </w:rPr>
        <w:t>сохраняемости</w:t>
      </w:r>
      <w:proofErr w:type="spellEnd"/>
      <w:r w:rsidRPr="002C2844">
        <w:rPr>
          <w:rFonts w:ascii="Arial" w:eastAsia="Times New Roman" w:hAnsi="Arial" w:cs="Arial"/>
          <w:sz w:val="24"/>
          <w:szCs w:val="24"/>
          <w:lang w:eastAsia="ru-RU"/>
        </w:rPr>
        <w:t xml:space="preserve"> конденсаторов </w:t>
      </w:r>
      <w:proofErr w:type="spellStart"/>
      <w:r w:rsidRPr="002C2844">
        <w:rPr>
          <w:rFonts w:ascii="Arial" w:eastAsia="Times New Roman" w:hAnsi="Arial" w:cs="Arial"/>
          <w:sz w:val="24"/>
          <w:szCs w:val="24"/>
          <w:lang w:eastAsia="ru-RU"/>
        </w:rPr>
        <w:t>Tcy</w:t>
      </w:r>
      <w:proofErr w:type="spellEnd"/>
      <w:r w:rsidRPr="002C2844">
        <w:rPr>
          <w:rFonts w:ascii="Arial" w:eastAsia="Times New Roman" w:hAnsi="Arial" w:cs="Arial"/>
          <w:sz w:val="24"/>
          <w:szCs w:val="24"/>
          <w:lang w:eastAsia="ru-RU"/>
        </w:rPr>
        <w:t xml:space="preserve"> при y=95%, 25 лет</w:t>
      </w:r>
    </w:p>
    <w:p w:rsidR="002C2844" w:rsidRPr="002C2844" w:rsidRDefault="002C2844" w:rsidP="002C2844"/>
    <w:sectPr w:rsidR="002C2844" w:rsidRPr="002C2844" w:rsidSect="00300CF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12"/>
    <w:rsid w:val="002C2844"/>
    <w:rsid w:val="00300CF9"/>
    <w:rsid w:val="007E0B8F"/>
    <w:rsid w:val="00BA6712"/>
    <w:rsid w:val="00F7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E7BE"/>
  <w15:chartTrackingRefBased/>
  <w15:docId w15:val="{1207A791-1E79-41E9-AA07-15C6DBE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0C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0C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39"/>
    <w:rsid w:val="003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300C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300C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">
    <w:name w:val="Grid Table 1 Light"/>
    <w:basedOn w:val="a1"/>
    <w:uiPriority w:val="46"/>
    <w:rsid w:val="00300CF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8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8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4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76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8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3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5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65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5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640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84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8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7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34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2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9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9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13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86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3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2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387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5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2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91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7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8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8135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70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6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12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6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8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69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2023-06-23T07:35:00Z</dcterms:created>
  <dcterms:modified xsi:type="dcterms:W3CDTF">2023-06-23T08:35:00Z</dcterms:modified>
</cp:coreProperties>
</file>